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E0" w:rsidRPr="00A835FC" w:rsidRDefault="002645E0">
      <w:pPr>
        <w:spacing w:after="1" w:line="220" w:lineRule="atLeast"/>
        <w:ind w:firstLine="540"/>
        <w:jc w:val="both"/>
        <w:outlineLvl w:val="0"/>
        <w:rPr>
          <w:rFonts w:ascii="Times New Roman" w:hAnsi="Times New Roman" w:cs="Times New Roman"/>
          <w:sz w:val="32"/>
          <w:szCs w:val="32"/>
        </w:rPr>
      </w:pPr>
      <w:r w:rsidRPr="00A835FC">
        <w:rPr>
          <w:rFonts w:ascii="Times New Roman" w:hAnsi="Times New Roman" w:cs="Times New Roman"/>
          <w:b/>
          <w:sz w:val="32"/>
          <w:szCs w:val="32"/>
        </w:rPr>
        <w:t>УГОЛОВНОЕ ПРАВО. ИСПОЛНЕНИЕ НАКАЗАНИЙ</w:t>
      </w:r>
    </w:p>
    <w:p w:rsidR="002645E0" w:rsidRPr="00A835FC" w:rsidRDefault="002645E0">
      <w:pPr>
        <w:spacing w:after="1" w:line="220" w:lineRule="atLeast"/>
        <w:ind w:firstLine="540"/>
        <w:jc w:val="both"/>
        <w:rPr>
          <w:rFonts w:ascii="Times New Roman" w:hAnsi="Times New Roman" w:cs="Times New Roman"/>
          <w:sz w:val="32"/>
          <w:szCs w:val="32"/>
        </w:rPr>
      </w:pPr>
    </w:p>
    <w:p w:rsidR="002645E0" w:rsidRPr="00A835FC" w:rsidRDefault="00A5698E">
      <w:pPr>
        <w:spacing w:after="1" w:line="220" w:lineRule="atLeast"/>
        <w:ind w:left="540"/>
        <w:jc w:val="both"/>
        <w:rPr>
          <w:rFonts w:ascii="Times New Roman" w:hAnsi="Times New Roman" w:cs="Times New Roman"/>
          <w:sz w:val="32"/>
          <w:szCs w:val="32"/>
        </w:rPr>
      </w:pPr>
      <w:hyperlink r:id="rId5" w:history="1">
        <w:r w:rsidR="002645E0" w:rsidRPr="00A835FC">
          <w:rPr>
            <w:rFonts w:ascii="Times New Roman" w:hAnsi="Times New Roman" w:cs="Times New Roman"/>
            <w:color w:val="0000FF"/>
            <w:sz w:val="32"/>
            <w:szCs w:val="32"/>
          </w:rPr>
          <w:t>Постановление</w:t>
        </w:r>
      </w:hyperlink>
      <w:r w:rsidR="002645E0" w:rsidRPr="00A835FC">
        <w:rPr>
          <w:rFonts w:ascii="Times New Roman" w:hAnsi="Times New Roman" w:cs="Times New Roman"/>
          <w:sz w:val="32"/>
          <w:szCs w:val="32"/>
        </w:rPr>
        <w:t xml:space="preserve"> Конституционного Суда РФ от 14.06.2018 N 23-П</w:t>
      </w:r>
    </w:p>
    <w:p w:rsidR="002645E0" w:rsidRPr="00A835FC" w:rsidRDefault="002645E0">
      <w:pPr>
        <w:spacing w:before="220" w:after="1" w:line="220" w:lineRule="atLeast"/>
        <w:ind w:left="540"/>
        <w:jc w:val="both"/>
        <w:rPr>
          <w:rFonts w:ascii="Times New Roman" w:hAnsi="Times New Roman" w:cs="Times New Roman"/>
          <w:sz w:val="32"/>
          <w:szCs w:val="32"/>
        </w:rPr>
      </w:pPr>
      <w:proofErr w:type="gramStart"/>
      <w:r w:rsidRPr="00A835FC">
        <w:rPr>
          <w:rFonts w:ascii="Times New Roman" w:hAnsi="Times New Roman" w:cs="Times New Roman"/>
          <w:sz w:val="32"/>
          <w:szCs w:val="32"/>
        </w:rPr>
        <w:t>"По делу о проверке конституционности части 1 статьи 1.7 и части 4 статьи 4.5 Кодекса Российской Федерации об административных правонарушениях, пункта 4 статьи 1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и пункта 4 статьи 1 Федерального закона "О внесении изменений в</w:t>
      </w:r>
      <w:proofErr w:type="gramEnd"/>
      <w:r w:rsidRPr="00A835FC">
        <w:rPr>
          <w:rFonts w:ascii="Times New Roman" w:hAnsi="Times New Roman" w:cs="Times New Roman"/>
          <w:sz w:val="32"/>
          <w:szCs w:val="32"/>
        </w:rPr>
        <w:t xml:space="preserve"> отдельные законодательные акты Российской Федерации в связи с принятием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в связи с жалобами граждан А.И. </w:t>
      </w:r>
      <w:proofErr w:type="spellStart"/>
      <w:r w:rsidRPr="00A835FC">
        <w:rPr>
          <w:rFonts w:ascii="Times New Roman" w:hAnsi="Times New Roman" w:cs="Times New Roman"/>
          <w:sz w:val="32"/>
          <w:szCs w:val="32"/>
        </w:rPr>
        <w:t>Заляутдинова</w:t>
      </w:r>
      <w:proofErr w:type="spellEnd"/>
      <w:r w:rsidRPr="00A835FC">
        <w:rPr>
          <w:rFonts w:ascii="Times New Roman" w:hAnsi="Times New Roman" w:cs="Times New Roman"/>
          <w:sz w:val="32"/>
          <w:szCs w:val="32"/>
        </w:rPr>
        <w:t xml:space="preserve">, Н.Я. Исмагилова и О.В. </w:t>
      </w:r>
      <w:proofErr w:type="spellStart"/>
      <w:r w:rsidRPr="00A835FC">
        <w:rPr>
          <w:rFonts w:ascii="Times New Roman" w:hAnsi="Times New Roman" w:cs="Times New Roman"/>
          <w:sz w:val="32"/>
          <w:szCs w:val="32"/>
        </w:rPr>
        <w:t>Чередняк</w:t>
      </w:r>
      <w:proofErr w:type="spellEnd"/>
      <w:r w:rsidRPr="00A835FC">
        <w:rPr>
          <w:rFonts w:ascii="Times New Roman" w:hAnsi="Times New Roman" w:cs="Times New Roman"/>
          <w:sz w:val="32"/>
          <w:szCs w:val="32"/>
        </w:rPr>
        <w:t>"</w:t>
      </w:r>
    </w:p>
    <w:p w:rsidR="002645E0" w:rsidRPr="00A835FC" w:rsidRDefault="002645E0">
      <w:pPr>
        <w:spacing w:after="1" w:line="220" w:lineRule="atLeast"/>
        <w:ind w:firstLine="540"/>
        <w:jc w:val="both"/>
        <w:rPr>
          <w:rFonts w:ascii="Times New Roman" w:hAnsi="Times New Roman" w:cs="Times New Roman"/>
          <w:sz w:val="32"/>
          <w:szCs w:val="32"/>
        </w:rPr>
      </w:pPr>
    </w:p>
    <w:p w:rsidR="002645E0" w:rsidRPr="00A835FC" w:rsidRDefault="002645E0">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b/>
          <w:sz w:val="32"/>
          <w:szCs w:val="32"/>
        </w:rPr>
        <w:t>Декриминализация деяния при одновременном закреплении тождественного состава административного правонарушения не может рассматриваться как установление нового противоправного деяния, не наказуемого ранее</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Конституционный Суд РФ признал часть 1 статьи 1.7 КоАП РФ во взаимосвязи с пунктом 4 статьи 1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и пунктом 4 статьи 1 Федерального закона "О внесении изменений в отдельные законодательные акты Российской Федерации в связи</w:t>
      </w:r>
      <w:proofErr w:type="gramEnd"/>
      <w:r w:rsidRPr="00A835FC">
        <w:rPr>
          <w:rFonts w:ascii="Times New Roman" w:hAnsi="Times New Roman" w:cs="Times New Roman"/>
          <w:sz w:val="32"/>
          <w:szCs w:val="32"/>
        </w:rPr>
        <w:t xml:space="preserve"> </w:t>
      </w:r>
      <w:proofErr w:type="gramStart"/>
      <w:r w:rsidRPr="00A835FC">
        <w:rPr>
          <w:rFonts w:ascii="Times New Roman" w:hAnsi="Times New Roman" w:cs="Times New Roman"/>
          <w:sz w:val="32"/>
          <w:szCs w:val="32"/>
        </w:rPr>
        <w:t xml:space="preserve">с принятием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не противоречащими Конституции РФ, поскольку по своему конституционно-правовому </w:t>
      </w:r>
      <w:r w:rsidRPr="00A835FC">
        <w:rPr>
          <w:rFonts w:ascii="Times New Roman" w:hAnsi="Times New Roman" w:cs="Times New Roman"/>
          <w:sz w:val="32"/>
          <w:szCs w:val="32"/>
        </w:rPr>
        <w:lastRenderedPageBreak/>
        <w:t>смыслу содержащиеся в них положения позволяют привлекать к административной ответственности лиц, в действиях которых будет установлен состав административного правонарушения, предусмотренного статьей 6.1.1 КоАП РФ, если</w:t>
      </w:r>
      <w:proofErr w:type="gramEnd"/>
      <w:r w:rsidRPr="00A835FC">
        <w:rPr>
          <w:rFonts w:ascii="Times New Roman" w:hAnsi="Times New Roman" w:cs="Times New Roman"/>
          <w:sz w:val="32"/>
          <w:szCs w:val="32"/>
        </w:rPr>
        <w:t xml:space="preserve"> событие соответствующего правонарушения имело место до вступления данной статьи в силу.</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Конституционный Суд РФ указал, в частности, следующее.</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Статьей 1 Федерального закона от 3 июля 2016 года N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в Уголовный кодекс Российской Федерации внесен ряд изменений, в том числе изложена в новой редакции статья 116 "Побои" (пункт 4) и введена статья 116.1 "Нанесение побоев</w:t>
      </w:r>
      <w:proofErr w:type="gramEnd"/>
      <w:r w:rsidRPr="00A835FC">
        <w:rPr>
          <w:rFonts w:ascii="Times New Roman" w:hAnsi="Times New Roman" w:cs="Times New Roman"/>
          <w:sz w:val="32"/>
          <w:szCs w:val="32"/>
        </w:rPr>
        <w:t xml:space="preserve"> лицом, подвергнутым административному наказанию" (пункт 5). Эти изменения вступили в силу с 15 июля 2016 года.</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Пунктом 4 статьи 1 Федерального закона от 3 июля 2016 года N 326-ФЗ "О внесении изменений в отдельные законодательные акты Российской Федерации в связи с принятием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также вступившего в силу с 15 июля 2016 года</w:t>
      </w:r>
      <w:proofErr w:type="gramEnd"/>
      <w:r w:rsidRPr="00A835FC">
        <w:rPr>
          <w:rFonts w:ascii="Times New Roman" w:hAnsi="Times New Roman" w:cs="Times New Roman"/>
          <w:sz w:val="32"/>
          <w:szCs w:val="32"/>
        </w:rPr>
        <w:t>, Кодекс Российской Федерации об административных правонарушениях дополнен статьей 6.1.1 "Побои".</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Частичная декриминализация с 15 июля 2016 года такого общественно опасного деяния, как побои, осуществленная на основании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(пункт 4 статьи 1), сопровождалась синхронным (с той же даты) дополнением Кодекса РФ об административных правонарушениях статьей 6.1.1, предусматривающей</w:t>
      </w:r>
      <w:proofErr w:type="gramEnd"/>
      <w:r w:rsidRPr="00A835FC">
        <w:rPr>
          <w:rFonts w:ascii="Times New Roman" w:hAnsi="Times New Roman" w:cs="Times New Roman"/>
          <w:sz w:val="32"/>
          <w:szCs w:val="32"/>
        </w:rPr>
        <w:t xml:space="preserve"> </w:t>
      </w:r>
      <w:proofErr w:type="gramStart"/>
      <w:r w:rsidRPr="00A835FC">
        <w:rPr>
          <w:rFonts w:ascii="Times New Roman" w:hAnsi="Times New Roman" w:cs="Times New Roman"/>
          <w:sz w:val="32"/>
          <w:szCs w:val="32"/>
        </w:rPr>
        <w:t xml:space="preserve">административную ответственность за </w:t>
      </w:r>
      <w:r w:rsidRPr="00A835FC">
        <w:rPr>
          <w:rFonts w:ascii="Times New Roman" w:hAnsi="Times New Roman" w:cs="Times New Roman"/>
          <w:sz w:val="32"/>
          <w:szCs w:val="32"/>
        </w:rPr>
        <w:lastRenderedPageBreak/>
        <w:t>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 (пункт 4 статьи 1 Федерального закона "О внесении изменений в отдельные законодательные акты Российской Федерации в связи с принятием Федерального закона "О внесении изменений в Уголовный кодекс Российской Федерации</w:t>
      </w:r>
      <w:proofErr w:type="gramEnd"/>
      <w:r w:rsidRPr="00A835FC">
        <w:rPr>
          <w:rFonts w:ascii="Times New Roman" w:hAnsi="Times New Roman" w:cs="Times New Roman"/>
          <w:sz w:val="32"/>
          <w:szCs w:val="32"/>
        </w:rPr>
        <w:t xml:space="preserve"> и Уголовно-процессуальный кодекс Российской Федерации по вопросам совершенствования оснований и порядка освобождения от уголовной ответственности"). </w:t>
      </w:r>
      <w:proofErr w:type="gramStart"/>
      <w:r w:rsidRPr="00A835FC">
        <w:rPr>
          <w:rFonts w:ascii="Times New Roman" w:hAnsi="Times New Roman" w:cs="Times New Roman"/>
          <w:sz w:val="32"/>
          <w:szCs w:val="32"/>
        </w:rPr>
        <w:t xml:space="preserve">При этом была сохранена криминализация впервые совершенных деяний, выразившихся в побоях или иных насильственных действиях, причинивших физическую боль, но не повлекших легкого вреда здоровью, - при наличии указанных в статье 116 УК РФ </w:t>
      </w:r>
      <w:proofErr w:type="spellStart"/>
      <w:r w:rsidRPr="00A835FC">
        <w:rPr>
          <w:rFonts w:ascii="Times New Roman" w:hAnsi="Times New Roman" w:cs="Times New Roman"/>
          <w:sz w:val="32"/>
          <w:szCs w:val="32"/>
        </w:rPr>
        <w:t>криминообразующих</w:t>
      </w:r>
      <w:proofErr w:type="spellEnd"/>
      <w:r w:rsidRPr="00A835FC">
        <w:rPr>
          <w:rFonts w:ascii="Times New Roman" w:hAnsi="Times New Roman" w:cs="Times New Roman"/>
          <w:sz w:val="32"/>
          <w:szCs w:val="32"/>
        </w:rPr>
        <w:t xml:space="preserve"> признаков (которыми в настоящее время признаются такие мотивы совершения деяния, как хулиганские побуждения, политическая, идеологическая, расовая, национальная или религиозная ненависть или вражда, ненависть или вражда в отношении</w:t>
      </w:r>
      <w:proofErr w:type="gramEnd"/>
      <w:r w:rsidRPr="00A835FC">
        <w:rPr>
          <w:rFonts w:ascii="Times New Roman" w:hAnsi="Times New Roman" w:cs="Times New Roman"/>
          <w:sz w:val="32"/>
          <w:szCs w:val="32"/>
        </w:rPr>
        <w:t xml:space="preserve"> </w:t>
      </w:r>
      <w:proofErr w:type="gramStart"/>
      <w:r w:rsidRPr="00A835FC">
        <w:rPr>
          <w:rFonts w:ascii="Times New Roman" w:hAnsi="Times New Roman" w:cs="Times New Roman"/>
          <w:sz w:val="32"/>
          <w:szCs w:val="32"/>
        </w:rPr>
        <w:t>какой-либо социальной группы).</w:t>
      </w:r>
      <w:proofErr w:type="gramEnd"/>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Соответственно, если ответственность за деяние смягчена, но не устранена, а само деяние получило другую отраслевую юридическую квалификацию, то его декриминализация при одновременном закреплении тождественного состава административного правонарушения не может рассматриваться как установление нового противоправного деяния, не наказуемого ранее. Такая декриминализация представляет собой смягчение публично-правовой ответственности за совершение соответствующего правонарушения, проявляющееся во введении менее строгих - по сравнению с уголовными - административных санкций, меньшее по степени - по сравнению с уголовно-правовым институтом судимости - ограничение прав при применении мер административной ответственности.</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 xml:space="preserve">Отмена законом уголовной ответственности за определенное деяние с одновременным его переводом под действие Кодекса РФ об административных правонарушениях </w:t>
      </w:r>
      <w:proofErr w:type="gramStart"/>
      <w:r w:rsidRPr="00A835FC">
        <w:rPr>
          <w:rFonts w:ascii="Times New Roman" w:hAnsi="Times New Roman" w:cs="Times New Roman"/>
          <w:sz w:val="32"/>
          <w:szCs w:val="32"/>
        </w:rPr>
        <w:t>свидетельствует</w:t>
      </w:r>
      <w:proofErr w:type="gramEnd"/>
      <w:r w:rsidRPr="00A835FC">
        <w:rPr>
          <w:rFonts w:ascii="Times New Roman" w:hAnsi="Times New Roman" w:cs="Times New Roman"/>
          <w:sz w:val="32"/>
          <w:szCs w:val="32"/>
        </w:rPr>
        <w:t xml:space="preserve"> о том, что федеральный законодатель продолжает рассматривать данное деяние как правонарушающее, однако по-иному оценивает характер его общественной опасности. </w:t>
      </w:r>
      <w:proofErr w:type="gramStart"/>
      <w:r w:rsidRPr="00A835FC">
        <w:rPr>
          <w:rFonts w:ascii="Times New Roman" w:hAnsi="Times New Roman" w:cs="Times New Roman"/>
          <w:sz w:val="32"/>
          <w:szCs w:val="32"/>
        </w:rPr>
        <w:t xml:space="preserve">Применительно к вопросу о </w:t>
      </w:r>
      <w:r w:rsidRPr="00A835FC">
        <w:rPr>
          <w:rFonts w:ascii="Times New Roman" w:hAnsi="Times New Roman" w:cs="Times New Roman"/>
          <w:sz w:val="32"/>
          <w:szCs w:val="32"/>
        </w:rPr>
        <w:lastRenderedPageBreak/>
        <w:t>введении административной ответственности за нанесение побоев или совершение иных насильственных действий, причинивших физическую боль, на основании вступившей в силу с 15 июля 2016 года статьи 6.1.1 КоАП РФ это означает не исключение, а смягчение публично-правовой ответственности, что, следовательно, - в силу вытекающих из конституционных принципов справедливости и равенства требований неотвратимости ответственности за совершенное правонарушение, а также определенности</w:t>
      </w:r>
      <w:proofErr w:type="gramEnd"/>
      <w:r w:rsidRPr="00A835FC">
        <w:rPr>
          <w:rFonts w:ascii="Times New Roman" w:hAnsi="Times New Roman" w:cs="Times New Roman"/>
          <w:sz w:val="32"/>
          <w:szCs w:val="32"/>
        </w:rPr>
        <w:t>, ясности, недвусмысленности правовых норм и их согласованности в общей системе правового регулирования - предполагает привлечение лиц, совершивших такие действия, хотя и до указанной даты, к административной ответственности.</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В иных случаях при оценке последствий изменения отраслевой принадлежности норм, устанавливающих наказуемость определенных форм поведения (например, при введении уголовной ответственности вместо административной или при отказе от уголовной ответственности в пользу административной, что, в свою очередь, влечет усиление либо смягчение санкции соответствующей нормы), также следует иметь в виду не только совпадение объема запрещенного деяния (по признакам, характеризующим его объективную и субъективную</w:t>
      </w:r>
      <w:proofErr w:type="gramEnd"/>
      <w:r w:rsidRPr="00A835FC">
        <w:rPr>
          <w:rFonts w:ascii="Times New Roman" w:hAnsi="Times New Roman" w:cs="Times New Roman"/>
          <w:sz w:val="32"/>
          <w:szCs w:val="32"/>
        </w:rPr>
        <w:t xml:space="preserve"> стороны, субъекта, потерпевшего, предмет посягательства), но и одновременность изменения природы его противоправности, поскольку лишь синхронные изменения законодательной оценки тождественных деяний означают преемственность правового регулирования публично-правовой ответственности. При этом перевод деяния из категории преступлений в группу административных правонарушений, влекущий смягчение ответственности за его совершение, не может расцениваться как ухудшение правового положения лица, совершившего такое деяние.</w:t>
      </w:r>
    </w:p>
    <w:p w:rsidR="002645E0" w:rsidRPr="00A835FC" w:rsidRDefault="002645E0">
      <w:pPr>
        <w:spacing w:after="1" w:line="220" w:lineRule="atLeast"/>
        <w:ind w:firstLine="540"/>
        <w:jc w:val="both"/>
        <w:rPr>
          <w:rFonts w:ascii="Times New Roman" w:hAnsi="Times New Roman" w:cs="Times New Roman"/>
          <w:sz w:val="32"/>
          <w:szCs w:val="32"/>
        </w:rPr>
      </w:pPr>
    </w:p>
    <w:p w:rsidR="002645E0" w:rsidRPr="00A835FC" w:rsidRDefault="00A5698E">
      <w:pPr>
        <w:spacing w:after="1" w:line="220" w:lineRule="atLeast"/>
        <w:ind w:left="540"/>
        <w:jc w:val="both"/>
        <w:rPr>
          <w:rFonts w:ascii="Times New Roman" w:hAnsi="Times New Roman" w:cs="Times New Roman"/>
          <w:sz w:val="32"/>
          <w:szCs w:val="32"/>
        </w:rPr>
      </w:pPr>
      <w:hyperlink r:id="rId6" w:history="1">
        <w:r w:rsidR="002645E0" w:rsidRPr="00A835FC">
          <w:rPr>
            <w:rFonts w:ascii="Times New Roman" w:hAnsi="Times New Roman" w:cs="Times New Roman"/>
            <w:color w:val="0000FF"/>
            <w:sz w:val="32"/>
            <w:szCs w:val="32"/>
          </w:rPr>
          <w:t>Постановление</w:t>
        </w:r>
      </w:hyperlink>
      <w:r w:rsidR="002645E0" w:rsidRPr="00A835FC">
        <w:rPr>
          <w:rFonts w:ascii="Times New Roman" w:hAnsi="Times New Roman" w:cs="Times New Roman"/>
          <w:sz w:val="32"/>
          <w:szCs w:val="32"/>
        </w:rPr>
        <w:t xml:space="preserve"> Пленума Верховного Суда РФ от 14.06.2018 N 17</w:t>
      </w:r>
    </w:p>
    <w:p w:rsidR="002645E0" w:rsidRPr="00A835FC" w:rsidRDefault="002645E0">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некоторых вопросах, связанных с применением конфискации имущества в уголовном судопроизводстве"</w:t>
      </w:r>
    </w:p>
    <w:p w:rsidR="002645E0" w:rsidRPr="00A835FC" w:rsidRDefault="002645E0">
      <w:pPr>
        <w:spacing w:after="1" w:line="220" w:lineRule="atLeast"/>
        <w:ind w:firstLine="540"/>
        <w:jc w:val="both"/>
        <w:rPr>
          <w:rFonts w:ascii="Times New Roman" w:hAnsi="Times New Roman" w:cs="Times New Roman"/>
          <w:sz w:val="32"/>
          <w:szCs w:val="32"/>
        </w:rPr>
      </w:pPr>
    </w:p>
    <w:p w:rsidR="002645E0" w:rsidRPr="00A835FC" w:rsidRDefault="002645E0">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b/>
          <w:sz w:val="32"/>
          <w:szCs w:val="32"/>
        </w:rPr>
        <w:lastRenderedPageBreak/>
        <w:t>Верховным Судом РФ даны разъяснения по ряду вопросов, возникающих у судов при конфискации имущества по уголовным делам</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В целях обеспечения правильного и единообразного применения судами норм уголовного и уголовно-процессуального законодательства, регламентирующих основания и порядок конфискации имущества, Пленум Верховного Суда РФ обращает внимание судов, в частности, на следующее:</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 деньги, ценности и иное имущество, а также доходы от него подлежат конфискации на основании пунктов "а" и "б" части 1 статьи 104.1 УК РФ, если они получены в результате совершения только тех преступлений, которые указаны в данных нормах, или явились предметом незаконного перемещения через таможенную границу либо через Государственную границу РФ, ответственность за которое установлена статьями 200.1, 200.2, 226.1 и</w:t>
      </w:r>
      <w:proofErr w:type="gramEnd"/>
      <w:r w:rsidRPr="00A835FC">
        <w:rPr>
          <w:rFonts w:ascii="Times New Roman" w:hAnsi="Times New Roman" w:cs="Times New Roman"/>
          <w:sz w:val="32"/>
          <w:szCs w:val="32"/>
        </w:rPr>
        <w:t xml:space="preserve"> 229.1 УК РФ. Кроме того, согласно пункту "в" части 1 статьи 104.1 УК РФ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Вместе с тем орудия, оборудование или иные средства совершения преступления, принадлежащие обвиняемому (пункт "г" части 1 статьи 104.1 УК РФ), могут быть конфискованы судом по делам о преступлениях, перечень которых законом не ограничен;</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 исходя из положений пункта "</w:t>
      </w:r>
      <w:proofErr w:type="gramStart"/>
      <w:r w:rsidRPr="00A835FC">
        <w:rPr>
          <w:rFonts w:ascii="Times New Roman" w:hAnsi="Times New Roman" w:cs="Times New Roman"/>
          <w:sz w:val="32"/>
          <w:szCs w:val="32"/>
        </w:rPr>
        <w:t>с</w:t>
      </w:r>
      <w:proofErr w:type="gramEnd"/>
      <w:r w:rsidRPr="00A835FC">
        <w:rPr>
          <w:rFonts w:ascii="Times New Roman" w:hAnsi="Times New Roman" w:cs="Times New Roman"/>
          <w:sz w:val="32"/>
          <w:szCs w:val="32"/>
        </w:rPr>
        <w:t xml:space="preserve">" статьи 1 Конвенции Совета Европы об отмывании, выявлении, изъятии и конфискации доходов от преступной деятельности и о финансировании терроризма от 16 мая 2005 года, пункта 8 части 1 статьи 73, части 3 статьи 115 и пункта 10.1 части 1 статьи 299 УПК РФ к орудиям, оборудованию или иным средствам совершения преступления следует относить предметы, которые </w:t>
      </w:r>
      <w:proofErr w:type="gramStart"/>
      <w:r w:rsidRPr="00A835FC">
        <w:rPr>
          <w:rFonts w:ascii="Times New Roman" w:hAnsi="Times New Roman" w:cs="Times New Roman"/>
          <w:sz w:val="32"/>
          <w:szCs w:val="32"/>
        </w:rPr>
        <w:t xml:space="preserve">использовались либо были предназначены для использования при совершении преступного деяния или для достижения преступного результата (например, автомобиль, оборудованный специальным хранилищем для сокрытия товаров при незаконном перемещении их через таможенную границу или Государственную границу РФ; эхолоты и навигаторы при </w:t>
      </w:r>
      <w:r w:rsidRPr="00A835FC">
        <w:rPr>
          <w:rFonts w:ascii="Times New Roman" w:hAnsi="Times New Roman" w:cs="Times New Roman"/>
          <w:sz w:val="32"/>
          <w:szCs w:val="32"/>
        </w:rPr>
        <w:lastRenderedPageBreak/>
        <w:t>незаконной добыче (вылове) водных биологических ресурсов; копировальные аппараты и иная оргтехника, использованные для изготовления поддельных документов).</w:t>
      </w:r>
      <w:proofErr w:type="gramEnd"/>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При решении вопроса о конфискации орудий, оборудования или иных средств совершения преступления на основании пункта "г" части 1 статьи 104.1 УК РФ суду необходимо установить факт того, что такое имущество находится в собственности обвиняемого;</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 по уголовным делам о преступлениях террористической и экстремистской направленности конфискации подлежит любое имущество, принадлежащее обвиняемому, являющееся орудием, оборудованием или иным средством совершения преступления. К такому имуществу могут относиться сотовые телефоны, персональные компьютеры, иные электронные средства связи и коммуникации, которые использовались им, в частности:</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для размещения в средствах массовой информации либо электронных или информационно-телекоммуникационных сетях текстовых, аудио-, виде</w:t>
      </w:r>
      <w:proofErr w:type="gramStart"/>
      <w:r w:rsidRPr="00A835FC">
        <w:rPr>
          <w:rFonts w:ascii="Times New Roman" w:hAnsi="Times New Roman" w:cs="Times New Roman"/>
          <w:sz w:val="32"/>
          <w:szCs w:val="32"/>
        </w:rPr>
        <w:t>о-</w:t>
      </w:r>
      <w:proofErr w:type="gramEnd"/>
      <w:r w:rsidRPr="00A835FC">
        <w:rPr>
          <w:rFonts w:ascii="Times New Roman" w:hAnsi="Times New Roman" w:cs="Times New Roman"/>
          <w:sz w:val="32"/>
          <w:szCs w:val="32"/>
        </w:rPr>
        <w:t xml:space="preserve"> и других материалов, содержащих публичное оправдание терроризма и (или) призывы к террористической деятельности;</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для непосредственной подготовки к террористической деятельности (обучения в целях осуществления террористической деятельности; пропаганды и распространения запрещенной литературы террористической и экстремистской направленности и т.п.).</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Деньги, ценности и иное имущество, используемые или предназначенные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подлежат конфискации на основании пункта "в" части 1 статьи 104.1 УК РФ независимо от их принадлежности;</w:t>
      </w:r>
    </w:p>
    <w:p w:rsidR="002645E0" w:rsidRPr="00A835FC" w:rsidRDefault="002645E0">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 в силу положений статьи 104.3 УК РФ при решении вопроса о конфискации имущества в первую очередь должен быть решен вопрос о возмещении вреда, причиненного законному владельцу, в том числе за счет имущества, подлежащего конфискации;</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lastRenderedPageBreak/>
        <w:t>- в описательно-мотивировочной части обвинительного приговора, постановленного в общем порядке, следует приводить доказательства того,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а</w:t>
      </w:r>
      <w:proofErr w:type="gramEnd"/>
      <w:r w:rsidRPr="00A835FC">
        <w:rPr>
          <w:rFonts w:ascii="Times New Roman" w:hAnsi="Times New Roman" w:cs="Times New Roman"/>
          <w:sz w:val="32"/>
          <w:szCs w:val="32"/>
        </w:rPr>
        <w:t xml:space="preserve"> также обоснование решения о конфискации имущества (пункты 4.1 и 5 статьи 307 УПК РФ);</w:t>
      </w:r>
    </w:p>
    <w:p w:rsidR="002645E0" w:rsidRPr="00A835FC" w:rsidRDefault="002645E0">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 не является конфискацией имущества передача в соответствующие учреждения или уничтожение по решению суда приобщенных к уголовному делу в качестве вещественных доказательств предметов, которые хотя и относятся к имуществу, указанному в пунктах "а" - "г" части 1 статьи 104.1 УК РФ, или доходам от него, но запрещены к обращению либо изъяты из незаконного оборота.</w:t>
      </w:r>
      <w:proofErr w:type="gramEnd"/>
      <w:r w:rsidRPr="00A835FC">
        <w:rPr>
          <w:rFonts w:ascii="Times New Roman" w:hAnsi="Times New Roman" w:cs="Times New Roman"/>
          <w:sz w:val="32"/>
          <w:szCs w:val="32"/>
        </w:rPr>
        <w:t xml:space="preserve"> </w:t>
      </w:r>
      <w:proofErr w:type="gramStart"/>
      <w:r w:rsidRPr="00A835FC">
        <w:rPr>
          <w:rFonts w:ascii="Times New Roman" w:hAnsi="Times New Roman" w:cs="Times New Roman"/>
          <w:sz w:val="32"/>
          <w:szCs w:val="32"/>
        </w:rPr>
        <w:t>В таких случаях суд принимает решение не о конфискации, а о передаче в соответствующие учреждения или об уничтожении предметов, запрещенных к обращению, на основании пункта 2 части 3 статьи 81 УПК РФ либо об уничтожении изъятых из незаконного оборота товаров легкой промышленности на основании пункта 2.1 части 3 статьи 81 УПК РФ.</w:t>
      </w:r>
      <w:bookmarkStart w:id="0" w:name="_GoBack"/>
      <w:bookmarkEnd w:id="0"/>
      <w:proofErr w:type="gramEnd"/>
    </w:p>
    <w:sectPr w:rsidR="002645E0" w:rsidRPr="00A835FC" w:rsidSect="008D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E0"/>
    <w:rsid w:val="002645E0"/>
    <w:rsid w:val="009529B9"/>
    <w:rsid w:val="009F7F35"/>
    <w:rsid w:val="00A5698E"/>
    <w:rsid w:val="00A7377A"/>
    <w:rsid w:val="00A835FC"/>
    <w:rsid w:val="00D0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5E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5E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3C3C7D14DB9327185826D6942ED09A51262526430ACAF5CFDD85B8CA7ANFH" TargetMode="External"/><Relationship Id="rId5" Type="http://schemas.openxmlformats.org/officeDocument/2006/relationships/hyperlink" Target="consultantplus://offline/ref=0E3C3C7D14DB9327185826D6942ED09A51262526430BCAF5CFDD85B8CA7AN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procrf</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2018-06-22T07:12:00Z</dcterms:created>
  <dcterms:modified xsi:type="dcterms:W3CDTF">2018-06-22T08:43:00Z</dcterms:modified>
</cp:coreProperties>
</file>